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D1C48">
      <w:pPr>
        <w:spacing w:line="240" w:lineRule="auto"/>
        <w:jc w:val="center"/>
        <w:rPr>
          <w:rFonts w:hint="eastAsia" w:ascii="方正小标宋简体" w:hAnsi="方正小标宋简体" w:eastAsia="方正小标宋简体" w:cs="方正小标宋简体"/>
          <w:sz w:val="44"/>
          <w:szCs w:val="44"/>
          <w:lang w:val="en-US" w:eastAsia="zh-CN"/>
        </w:rPr>
      </w:pPr>
      <w:r>
        <w:rPr>
          <w:rFonts w:hint="eastAsia" w:ascii="黑体" w:hAnsi="黑体" w:eastAsia="黑体" w:cs="黑体"/>
          <w:b/>
          <w:bCs/>
          <w:sz w:val="36"/>
          <w:szCs w:val="36"/>
          <w:lang w:val="en-US" w:eastAsia="zh-CN"/>
        </w:rPr>
        <w:t>承  诺  函</w:t>
      </w:r>
    </w:p>
    <w:p w14:paraId="1D6AD62B">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jc w:val="center"/>
        <w:textAlignment w:val="auto"/>
        <w:outlineLvl w:val="9"/>
        <w:rPr>
          <w:rFonts w:hint="eastAsia" w:ascii="方正小标宋简体" w:hAnsi="方正小标宋简体" w:eastAsia="方正小标宋简体" w:cs="方正小标宋简体"/>
          <w:sz w:val="24"/>
          <w:szCs w:val="24"/>
          <w:lang w:val="en-US" w:eastAsia="zh-CN"/>
        </w:rPr>
      </w:pPr>
    </w:p>
    <w:p w14:paraId="3004485D">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lang w:val="en-US" w:eastAsia="zh-CN"/>
        </w:rPr>
        <w:t>北部湾产权交易所集团股份有限公司、濮阳恒润筑邦石油化工有限公司</w:t>
      </w:r>
      <w:r>
        <w:rPr>
          <w:rFonts w:hint="eastAsia" w:asciiTheme="minorEastAsia" w:hAnsiTheme="minorEastAsia" w:eastAsiaTheme="minorEastAsia" w:cstheme="minorEastAsia"/>
          <w:sz w:val="24"/>
          <w:szCs w:val="24"/>
          <w:u w:val="none"/>
          <w:lang w:val="en-US" w:eastAsia="zh-CN"/>
        </w:rPr>
        <w:t>：</w:t>
      </w:r>
    </w:p>
    <w:p w14:paraId="38849CD2">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default" w:asciiTheme="minorEastAsia" w:hAnsiTheme="minorEastAsia" w:eastAsiaTheme="minorEastAsia" w:cstheme="minorEastAsia"/>
          <w:sz w:val="24"/>
          <w:szCs w:val="24"/>
          <w:u w:val="none"/>
          <w:lang w:val="en-US" w:eastAsia="zh-CN"/>
        </w:rPr>
        <w:t>本方</w:t>
      </w:r>
      <w:r>
        <w:rPr>
          <w:rFonts w:hint="eastAsia" w:asciiTheme="minorEastAsia" w:hAnsiTheme="minorEastAsia" w:eastAsiaTheme="minorEastAsia" w:cstheme="minorEastAsia"/>
          <w:sz w:val="24"/>
          <w:szCs w:val="24"/>
          <w:u w:val="none"/>
          <w:lang w:val="en-US" w:eastAsia="zh-CN"/>
        </w:rPr>
        <w:t>拟受让濮阳恒润筑邦石油化工有限公司持有的台前县孙口乡张塘坊村、台前县产业集聚区长财路东侧3宗土地使用权及地上房屋建（构）筑物、设备类资产整体转让项目（以下简称本项目），依照公开、公平、公正、诚实的原则，本方审慎核查了</w:t>
      </w:r>
      <w:r>
        <w:rPr>
          <w:rFonts w:hint="eastAsia" w:asciiTheme="minorEastAsia" w:hAnsiTheme="minorEastAsia" w:eastAsiaTheme="minorEastAsia" w:cstheme="minorEastAsia"/>
          <w:sz w:val="24"/>
          <w:szCs w:val="24"/>
          <w:lang w:val="en-US" w:eastAsia="zh-CN"/>
        </w:rPr>
        <w:t>濮阳恒润筑邦石油化工有限公司</w:t>
      </w:r>
      <w:r>
        <w:rPr>
          <w:rFonts w:hint="eastAsia" w:asciiTheme="minorEastAsia" w:hAnsiTheme="minorEastAsia" w:eastAsiaTheme="minorEastAsia" w:cstheme="minorEastAsia"/>
          <w:sz w:val="24"/>
          <w:szCs w:val="24"/>
          <w:u w:val="none"/>
          <w:lang w:val="en-US" w:eastAsia="zh-CN"/>
        </w:rPr>
        <w:t>（以下简称转让方）通过北部湾产权交易所集团股份有限公司（以下简称交易所）公开披露的关于本项目的全部信息及本项目所涉及的相关法律、法规及政策规定，作出如下承诺：</w:t>
      </w:r>
    </w:p>
    <w:p w14:paraId="09403B73">
      <w:pPr>
        <w:keepNext w:val="0"/>
        <w:keepLines w:val="0"/>
        <w:pageBreakBefore w:val="0"/>
        <w:widowControl w:val="0"/>
        <w:numPr>
          <w:ilvl w:val="0"/>
          <w:numId w:val="0"/>
        </w:numPr>
        <w:kinsoku/>
        <w:wordWrap/>
        <w:overflowPunct/>
        <w:topLinePunct w:val="0"/>
        <w:autoSpaceDE/>
        <w:autoSpaceDN/>
        <w:bidi w:val="0"/>
        <w:adjustRightInd/>
        <w:snapToGrid/>
        <w:spacing w:after="120" w:line="400" w:lineRule="exact"/>
        <w:ind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一、</w:t>
      </w:r>
      <w:r>
        <w:rPr>
          <w:rFonts w:hint="default" w:asciiTheme="minorEastAsia" w:hAnsiTheme="minorEastAsia" w:eastAsiaTheme="minorEastAsia" w:cstheme="minorEastAsia"/>
          <w:sz w:val="24"/>
          <w:szCs w:val="24"/>
          <w:u w:val="none"/>
          <w:lang w:val="en-US" w:eastAsia="zh-CN"/>
        </w:rPr>
        <w:t>本方已知悉并确认</w:t>
      </w:r>
      <w:r>
        <w:rPr>
          <w:rFonts w:hint="eastAsia" w:asciiTheme="minorEastAsia" w:hAnsiTheme="minorEastAsia" w:eastAsiaTheme="minorEastAsia" w:cstheme="minorEastAsia"/>
          <w:sz w:val="24"/>
          <w:szCs w:val="24"/>
          <w:u w:val="none"/>
          <w:lang w:val="en-US" w:eastAsia="zh-CN"/>
        </w:rPr>
        <w:t>，本次转让标的中的部分房屋建（构）筑物未办理产权登记，但均由转让方出资建设，无第三人主张权属纠纷。双方同意按现状转让，我方同转让方签署《交易合同》及《交割单》后，视为该部分资产交割已完成，我方已占有该部分标的资产并自愿承担相关产权无法办理初始登记及过户登记的风险。</w:t>
      </w:r>
    </w:p>
    <w:p w14:paraId="0707CD2A">
      <w:pPr>
        <w:keepNext w:val="0"/>
        <w:keepLines w:val="0"/>
        <w:pageBreakBefore w:val="0"/>
        <w:widowControl w:val="0"/>
        <w:numPr>
          <w:ilvl w:val="0"/>
          <w:numId w:val="0"/>
        </w:numPr>
        <w:kinsoku/>
        <w:wordWrap/>
        <w:overflowPunct/>
        <w:topLinePunct w:val="0"/>
        <w:autoSpaceDE/>
        <w:autoSpaceDN/>
        <w:bidi w:val="0"/>
        <w:adjustRightInd/>
        <w:snapToGrid/>
        <w:spacing w:after="120" w:line="400" w:lineRule="exact"/>
        <w:ind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二、</w:t>
      </w:r>
      <w:r>
        <w:rPr>
          <w:rFonts w:hint="default" w:asciiTheme="minorEastAsia" w:hAnsiTheme="minorEastAsia" w:eastAsiaTheme="minorEastAsia" w:cstheme="minorEastAsia"/>
          <w:sz w:val="24"/>
          <w:szCs w:val="24"/>
          <w:u w:val="none"/>
          <w:lang w:val="en-US" w:eastAsia="zh-CN"/>
        </w:rPr>
        <w:t>本方已知悉并确认</w:t>
      </w:r>
      <w:r>
        <w:rPr>
          <w:rFonts w:hint="eastAsia" w:asciiTheme="minorEastAsia" w:hAnsiTheme="minorEastAsia" w:eastAsiaTheme="minorEastAsia" w:cstheme="minorEastAsia"/>
          <w:sz w:val="24"/>
          <w:szCs w:val="24"/>
          <w:u w:val="none"/>
          <w:lang w:val="en-US" w:eastAsia="zh-CN"/>
        </w:rPr>
        <w:t>，本次转让标的不包括转让方现已持有的危险化学品生产、经营许可证等行政许可。相关行政许可不得随资产转让，应由我方作为新经营主体自行向主管部门申请危险化学品生产或经营许可、转让方依法办理注销或变更。我方确认已自行核查项目选址、工艺、环保、消防、安评等办证条件，知悉未取得许可证前不得从事危险化学品生产、经营活动；因政策、规划、现场条件等原因导致许可无法取得的风险，由我方自行承担，转让方应如实提供历史安全、环保、许可、技改资料，不得隐瞒重大缺陷。我方为法人或非法人组织的，承诺具备或能够在资产交割后6个月内取得与标的资产用途相匹配的危险化学品生产/经营、安全生产、排污等相关行政许可；我方为自然人的，承诺受让后将标的资产用于合法工业用途，如需开展危险化学品相关业务将依法设立符合资质要求的经营主体。</w:t>
      </w:r>
    </w:p>
    <w:p w14:paraId="5C013CBF">
      <w:pPr>
        <w:keepNext w:val="0"/>
        <w:keepLines w:val="0"/>
        <w:pageBreakBefore w:val="0"/>
        <w:widowControl w:val="0"/>
        <w:numPr>
          <w:ilvl w:val="0"/>
          <w:numId w:val="0"/>
        </w:numPr>
        <w:kinsoku/>
        <w:wordWrap/>
        <w:overflowPunct/>
        <w:topLinePunct w:val="0"/>
        <w:autoSpaceDE/>
        <w:autoSpaceDN/>
        <w:bidi w:val="0"/>
        <w:adjustRightInd/>
        <w:snapToGrid/>
        <w:spacing w:after="120" w:line="400" w:lineRule="exact"/>
        <w:ind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三、</w:t>
      </w:r>
      <w:r>
        <w:rPr>
          <w:rFonts w:hint="default" w:asciiTheme="minorEastAsia" w:hAnsiTheme="minorEastAsia" w:eastAsiaTheme="minorEastAsia" w:cstheme="minorEastAsia"/>
          <w:sz w:val="24"/>
          <w:szCs w:val="24"/>
          <w:u w:val="none"/>
          <w:lang w:val="en-US" w:eastAsia="zh-CN"/>
        </w:rPr>
        <w:t>本方已知悉并确认，</w:t>
      </w:r>
      <w:r>
        <w:rPr>
          <w:rFonts w:hint="eastAsia" w:asciiTheme="minorEastAsia" w:hAnsiTheme="minorEastAsia" w:eastAsiaTheme="minorEastAsia" w:cstheme="minorEastAsia"/>
          <w:sz w:val="24"/>
          <w:szCs w:val="24"/>
          <w:u w:val="none"/>
          <w:lang w:val="en-US" w:eastAsia="zh-CN"/>
        </w:rPr>
        <w:t>转让标的中的土地上还存放有转让方所有的供两个厂区共同使用的部分公用设备，位于第二块宗地（土地证号为台国用（2012）第043号），该部分设备不包含在本次转让标的中，因暂时无法转移或拆除重建成本过高等因素，转让方仍需继续租用土地用于存放该部分设备，初步预计租赁面积约3400平方米，具体以实际测量为准。我</w:t>
      </w:r>
      <w:r>
        <w:rPr>
          <w:rFonts w:hint="default" w:asciiTheme="minorEastAsia" w:hAnsiTheme="minorEastAsia" w:eastAsiaTheme="minorEastAsia" w:cstheme="minorEastAsia"/>
          <w:sz w:val="24"/>
          <w:szCs w:val="24"/>
          <w:u w:val="none"/>
          <w:lang w:val="en-US" w:eastAsia="zh-CN"/>
        </w:rPr>
        <w:t>方受让标的资产的，承诺按原址继续出租土地使用权供转让方存放上述设备，具体租赁事宜及设备范围由双方另行商议并签订书面合同。就租金标准、租赁期限等事项双方无法达成一致意见的，租金标准参照当地市场标准或由第三方评估机构评估确定，租赁期限为20年。</w:t>
      </w:r>
    </w:p>
    <w:p w14:paraId="546717D3">
      <w:pPr>
        <w:keepNext w:val="0"/>
        <w:keepLines w:val="0"/>
        <w:pageBreakBefore w:val="0"/>
        <w:widowControl w:val="0"/>
        <w:numPr>
          <w:ilvl w:val="0"/>
          <w:numId w:val="0"/>
        </w:numPr>
        <w:kinsoku/>
        <w:wordWrap/>
        <w:overflowPunct/>
        <w:topLinePunct w:val="0"/>
        <w:autoSpaceDE/>
        <w:autoSpaceDN/>
        <w:bidi w:val="0"/>
        <w:adjustRightInd/>
        <w:snapToGrid/>
        <w:spacing w:after="120" w:line="400" w:lineRule="exact"/>
        <w:ind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四、</w:t>
      </w:r>
      <w:r>
        <w:rPr>
          <w:rFonts w:hint="default" w:asciiTheme="minorEastAsia" w:hAnsiTheme="minorEastAsia" w:eastAsiaTheme="minorEastAsia" w:cstheme="minorEastAsia"/>
          <w:sz w:val="24"/>
          <w:szCs w:val="24"/>
          <w:u w:val="none"/>
          <w:lang w:val="en-US" w:eastAsia="zh-CN"/>
        </w:rPr>
        <w:t>本方已知悉并确认，</w:t>
      </w:r>
      <w:r>
        <w:rPr>
          <w:rFonts w:hint="eastAsia" w:asciiTheme="minorEastAsia" w:hAnsiTheme="minorEastAsia" w:eastAsiaTheme="minorEastAsia" w:cstheme="minorEastAsia"/>
          <w:sz w:val="24"/>
          <w:szCs w:val="24"/>
          <w:u w:val="none"/>
          <w:lang w:val="en-US" w:eastAsia="zh-CN"/>
        </w:rPr>
        <w:t>与转让标的直接相关且实际从事该等业务工作的员工共45人，按照“人随资产走、员工自愿”原则安置。选择留用的员工，由转让方、我方、员工三方通过签署《劳动关系转移协议》或转让方与该员工解除/变更原劳动合同、我方与该员工签订新劳动合同等方式办理；员工岗位安排原则上与原岗位属性、职级相匹配；职工薪酬标准、福利待遇、劳动环境原则上不低于原水平，后续可根据社会发展、行业政策、地区薪资水平及企业经营效益动态调整，过渡期内员工薪酬福利待遇不变；足额为员工缴纳各项社会保险及住房公积金，缴费比例原则上不降低；除截至资产评估基准日转让方已依法支付经济补偿的外，员工在转让方处的工作年限合并计算为我方工作年限，转让方不支付经济补偿金或赔偿金，我方受让标的资产的，视为对此表示接受且无异议。</w:t>
      </w:r>
      <w:bookmarkStart w:id="0" w:name="_GoBack"/>
      <w:bookmarkEnd w:id="0"/>
    </w:p>
    <w:p w14:paraId="7DBC27C6">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 xml:space="preserve">                                </w:t>
      </w:r>
    </w:p>
    <w:p w14:paraId="21DFA93F">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firstLine="4560" w:firstLineChars="19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 xml:space="preserve">承诺人（盖章/签字）：     </w:t>
      </w:r>
    </w:p>
    <w:p w14:paraId="5763CFE5">
      <w:pPr>
        <w:tabs>
          <w:tab w:val="left" w:pos="540"/>
        </w:tabs>
        <w:spacing w:line="560" w:lineRule="exact"/>
        <w:ind w:firstLine="4560" w:firstLineChars="1900"/>
        <w:jc w:val="both"/>
        <w:rPr>
          <w:rFonts w:hint="eastAsia" w:ascii="仿宋_GB2312" w:hAnsi="仿宋_GB2312" w:eastAsia="仿宋_GB2312" w:cs="仿宋_GB2312"/>
          <w:color w:val="auto"/>
          <w:sz w:val="24"/>
          <w:lang w:val="zh-CN" w:eastAsia="zh-CN"/>
        </w:rPr>
      </w:pPr>
      <w:r>
        <w:rPr>
          <w:rFonts w:hint="eastAsia" w:asciiTheme="minorEastAsia" w:hAnsiTheme="minorEastAsia" w:eastAsiaTheme="minorEastAsia" w:cstheme="minorEastAsia"/>
          <w:sz w:val="24"/>
          <w:szCs w:val="24"/>
          <w:u w:val="none"/>
          <w:lang w:val="zh-CN" w:eastAsia="zh-CN"/>
        </w:rPr>
        <w:t>法定代表人或</w:t>
      </w:r>
      <w:r>
        <w:rPr>
          <w:rFonts w:hint="eastAsia" w:asciiTheme="minorEastAsia" w:hAnsiTheme="minorEastAsia" w:eastAsiaTheme="minorEastAsia" w:cstheme="minorEastAsia"/>
          <w:sz w:val="24"/>
          <w:szCs w:val="24"/>
          <w:u w:val="none"/>
          <w:lang w:val="en-US" w:eastAsia="zh-CN"/>
        </w:rPr>
        <w:t>委托代理人（</w:t>
      </w:r>
      <w:r>
        <w:rPr>
          <w:rFonts w:hint="eastAsia" w:asciiTheme="minorEastAsia" w:hAnsiTheme="minorEastAsia" w:eastAsiaTheme="minorEastAsia" w:cstheme="minorEastAsia"/>
          <w:sz w:val="24"/>
          <w:szCs w:val="24"/>
          <w:u w:val="none"/>
          <w:lang w:val="zh-CN" w:eastAsia="zh-CN"/>
        </w:rPr>
        <w:t>签字</w:t>
      </w:r>
      <w:r>
        <w:rPr>
          <w:rFonts w:hint="eastAsia" w:asciiTheme="minorEastAsia" w:hAnsiTheme="minorEastAsia" w:eastAsiaTheme="minorEastAsia" w:cstheme="minorEastAsia"/>
          <w:sz w:val="24"/>
          <w:szCs w:val="24"/>
          <w:u w:val="none"/>
          <w:lang w:val="en-US" w:eastAsia="zh-CN"/>
        </w:rPr>
        <w:t>）</w:t>
      </w:r>
      <w:r>
        <w:rPr>
          <w:rFonts w:hint="eastAsia" w:asciiTheme="minorEastAsia" w:hAnsiTheme="minorEastAsia" w:eastAsiaTheme="minorEastAsia" w:cstheme="minorEastAsia"/>
          <w:sz w:val="24"/>
          <w:szCs w:val="24"/>
          <w:u w:val="none"/>
          <w:lang w:val="zh-CN" w:eastAsia="zh-CN"/>
        </w:rPr>
        <w:t>：</w:t>
      </w:r>
    </w:p>
    <w:p w14:paraId="1E80CC60">
      <w:pPr>
        <w:keepNext w:val="0"/>
        <w:keepLines w:val="0"/>
        <w:pageBreakBefore w:val="0"/>
        <w:widowControl w:val="0"/>
        <w:kinsoku/>
        <w:wordWrap/>
        <w:overflowPunct/>
        <w:topLinePunct w:val="0"/>
        <w:autoSpaceDE/>
        <w:autoSpaceDN/>
        <w:bidi w:val="0"/>
        <w:adjustRightInd/>
        <w:snapToGrid/>
        <w:spacing w:after="120" w:line="400" w:lineRule="exact"/>
        <w:ind w:left="0" w:leftChars="0" w:right="0" w:rightChars="0" w:firstLine="480" w:firstLineChars="200"/>
        <w:jc w:val="left"/>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 xml:space="preserve">                                         年   月   日 </w:t>
      </w:r>
    </w:p>
    <w:p w14:paraId="4AD47FCB"/>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1" w:fontKey="{FC814BFF-6F2E-5901-4B9F-D06AD360C826}"/>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8595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8C907B4">
                          <w:pPr>
                            <w:pStyle w:val="2"/>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OHS3HHRAQAApQMAAA4AAAAAAAAAAQAgAAAAHgEAAGRy&#10;cy9lMm9Eb2MueG1sUEsFBgAAAAAGAAYAWQEAAGEFAAAAAA==&#10;">
              <v:fill on="f" focussize="0,0"/>
              <v:stroke on="f"/>
              <v:imagedata o:title=""/>
              <o:lock v:ext="edit" aspectratio="f"/>
              <v:textbox inset="0mm,0mm,0mm,0mm" style="mso-fit-shape-to-text:t;">
                <w:txbxContent>
                  <w:p w14:paraId="38C907B4">
                    <w:pPr>
                      <w:pStyle w:val="2"/>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3720DD"/>
    <w:rsid w:val="076B16A1"/>
    <w:rsid w:val="0DAD0977"/>
    <w:rsid w:val="11247278"/>
    <w:rsid w:val="2BE34F9E"/>
    <w:rsid w:val="3AA42DFE"/>
    <w:rsid w:val="43922160"/>
    <w:rsid w:val="4E3720DD"/>
    <w:rsid w:val="56D44F0A"/>
    <w:rsid w:val="758D5C1B"/>
    <w:rsid w:val="FDF64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1253</Words>
  <Characters>1262</Characters>
  <Lines>0</Lines>
  <Paragraphs>0</Paragraphs>
  <TotalTime>1</TotalTime>
  <ScaleCrop>false</ScaleCrop>
  <LinksUpToDate>false</LinksUpToDate>
  <CharactersWithSpaces>1351</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2026-09-29T17:00:00Z</dcterms:created>
  <dc:creator>陈璨</dc:creator>
  <cp:lastModifiedBy>陈璨</cp:lastModifiedBy>
  <dcterms:modified xsi:type="dcterms:W3CDTF">2026-10-15T17:39:23Z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8021675747CD42DABD0E6ABA1A8794F2_11</vt:lpwstr>
  </property>
  <property fmtid="{D5CDD505-2E9C-101B-9397-08002B2CF9AE}" pid="4" name="KSOTemplateDocerSaveRecord">
    <vt:lpwstr>eyJoZGlkIjoiNjgxM2M4OTI5ZmQxOTNhMTkzOTk0NDNjODliZDdkZTkiLCJ1c2VySWQiOiIxNjU5NDk5NzgyIn0=</vt:lpwstr>
  </property>
</Properties>
</file>